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322E3981" w:rsidR="00885070" w:rsidRPr="009B3719" w:rsidRDefault="003A2A3C" w:rsidP="001A1B40">
      <w:pPr>
        <w:rPr>
          <w:rFonts w:ascii="Times New Roman" w:hAnsi="Times New Roman" w:cs="Times New Roman"/>
          <w:color w:val="auto"/>
        </w:rPr>
      </w:pPr>
      <w:r>
        <w:rPr>
          <w:rFonts w:ascii="Times New Roman" w:hAnsi="Times New Roman" w:cs="Times New Roman"/>
          <w:color w:val="auto"/>
        </w:rPr>
        <w:t>Nr. 10889/18.08.2021</w:t>
      </w: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7F62B46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Clubul Sportiv Municipal </w:t>
      </w:r>
      <w:proofErr w:type="spellStart"/>
      <w:r w:rsidRPr="009B3719">
        <w:rPr>
          <w:rFonts w:ascii="Times New Roman" w:hAnsi="Times New Roman"/>
          <w:color w:val="auto"/>
        </w:rPr>
        <w:t>Bucuresti</w:t>
      </w:r>
      <w:proofErr w:type="spellEnd"/>
      <w:r w:rsidRPr="009B3719">
        <w:rPr>
          <w:rFonts w:ascii="Times New Roman" w:hAnsi="Times New Roman"/>
          <w:color w:val="auto"/>
        </w:rPr>
        <w:t xml:space="preserve"> vă invită să </w:t>
      </w:r>
      <w:proofErr w:type="spellStart"/>
      <w:r w:rsidRPr="009B3719">
        <w:rPr>
          <w:rFonts w:ascii="Times New Roman" w:hAnsi="Times New Roman"/>
          <w:color w:val="auto"/>
        </w:rPr>
        <w:t>depuneti</w:t>
      </w:r>
      <w:proofErr w:type="spellEnd"/>
      <w:r w:rsidRPr="009B3719">
        <w:rPr>
          <w:rFonts w:ascii="Times New Roman" w:hAnsi="Times New Roman"/>
          <w:color w:val="auto"/>
        </w:rPr>
        <w:t xml:space="preserve">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2C06D4">
        <w:rPr>
          <w:rFonts w:ascii="Times New Roman" w:eastAsia="ThorndaleAMT" w:hAnsi="Times New Roman"/>
          <w:color w:val="auto"/>
          <w:lang w:val="en-US"/>
        </w:rPr>
        <w:t>MARKETING</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5DA640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proofErr w:type="spellStart"/>
      <w:r w:rsidR="004F1A81">
        <w:rPr>
          <w:rFonts w:ascii="Times New Roman" w:eastAsia="ThorndaleAMT" w:hAnsi="Times New Roman"/>
          <w:color w:val="auto"/>
        </w:rPr>
        <w:t>prestari</w:t>
      </w:r>
      <w:proofErr w:type="spellEnd"/>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600B4A7A"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7D20BC" w:rsidRPr="007D20BC">
        <w:rPr>
          <w:rFonts w:ascii="Times New Roman" w:hAnsi="Times New Roman"/>
          <w:color w:val="auto"/>
        </w:rPr>
        <w:t>01.0</w:t>
      </w:r>
      <w:r w:rsidR="003A2A3C">
        <w:rPr>
          <w:rFonts w:ascii="Times New Roman" w:hAnsi="Times New Roman"/>
          <w:color w:val="auto"/>
        </w:rPr>
        <w:t>9</w:t>
      </w:r>
      <w:r w:rsidR="007D20BC" w:rsidRPr="007D20BC">
        <w:rPr>
          <w:rFonts w:ascii="Times New Roman" w:hAnsi="Times New Roman"/>
          <w:color w:val="auto"/>
        </w:rPr>
        <w:t>.2021 – 31.12.2021,</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6E98AF0E"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w:t>
      </w:r>
      <w:r w:rsidR="003A2A3C">
        <w:rPr>
          <w:rFonts w:ascii="Times New Roman" w:eastAsia="ThorndaleAMT" w:hAnsi="Times New Roman"/>
          <w:color w:val="auto"/>
        </w:rPr>
        <w:t>4</w:t>
      </w:r>
      <w:r w:rsidR="00AD2D6A">
        <w:rPr>
          <w:rFonts w:ascii="Times New Roman" w:eastAsia="ThorndaleAMT" w:hAnsi="Times New Roman"/>
          <w:color w:val="auto"/>
        </w:rPr>
        <w:t>.0</w:t>
      </w:r>
      <w:r w:rsidR="003A2A3C">
        <w:rPr>
          <w:rFonts w:ascii="Times New Roman" w:eastAsia="ThorndaleAMT" w:hAnsi="Times New Roman"/>
          <w:color w:val="auto"/>
        </w:rPr>
        <w:t>8</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3A2A3C">
        <w:rPr>
          <w:rFonts w:ascii="Times New Roman" w:eastAsia="ThorndaleAMT" w:hAnsi="Times New Roman"/>
          <w:color w:val="auto"/>
        </w:rPr>
        <w:t>3</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2993BFFC"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w:t>
      </w:r>
      <w:r w:rsidR="003A2A3C">
        <w:rPr>
          <w:rFonts w:ascii="Times New Roman" w:eastAsia="ThorndaleAMT" w:hAnsi="Times New Roman"/>
          <w:color w:val="auto"/>
        </w:rPr>
        <w:t>4</w:t>
      </w:r>
      <w:r w:rsidR="00AD2D6A">
        <w:rPr>
          <w:rFonts w:ascii="Times New Roman" w:eastAsia="ThorndaleAMT" w:hAnsi="Times New Roman"/>
          <w:color w:val="auto"/>
        </w:rPr>
        <w:t>.0</w:t>
      </w:r>
      <w:r w:rsidR="003A2A3C">
        <w:rPr>
          <w:rFonts w:ascii="Times New Roman" w:eastAsia="ThorndaleAMT" w:hAnsi="Times New Roman"/>
          <w:color w:val="auto"/>
        </w:rPr>
        <w:t>8</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004F1A81" w:rsidRPr="003A2A3C">
        <w:rPr>
          <w:rFonts w:ascii="Times New Roman" w:eastAsia="ThorndaleAMT" w:hAnsi="Times New Roman"/>
          <w:color w:val="auto"/>
          <w:vertAlign w:val="superscript"/>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5CB0FB65" w14:textId="51089805" w:rsidR="007D20BC" w:rsidRPr="00600F2B" w:rsidRDefault="006A414A" w:rsidP="002C06D4">
      <w:pPr>
        <w:autoSpaceDE w:val="0"/>
        <w:autoSpaceDN w:val="0"/>
        <w:adjustRightInd w:val="0"/>
        <w:jc w:val="both"/>
        <w:rPr>
          <w:rFonts w:ascii="Times New Roman" w:hAnsi="Times New Roman" w:cs="Times New Roman"/>
          <w:lang w:val="it-IT"/>
        </w:rPr>
      </w:pPr>
      <w:r w:rsidRPr="007D20BC">
        <w:rPr>
          <w:rFonts w:ascii="Times New Roman" w:eastAsia="ThorndaleAMT" w:hAnsi="Times New Roman" w:cs="Times New Roman"/>
          <w:b/>
          <w:color w:val="auto"/>
        </w:rPr>
        <w:t>24.</w:t>
      </w:r>
      <w:r w:rsidRPr="007D20BC">
        <w:rPr>
          <w:rFonts w:ascii="Times New Roman" w:eastAsia="ThorndaleAMT" w:hAnsi="Times New Roman" w:cs="Times New Roman"/>
          <w:color w:val="auto"/>
        </w:rPr>
        <w:t xml:space="preserve"> Valoarea estimata </w:t>
      </w:r>
      <w:r w:rsidR="003A2A3C">
        <w:rPr>
          <w:rFonts w:ascii="Times New Roman" w:eastAsia="ThorndaleAMT" w:hAnsi="Times New Roman" w:cs="Times New Roman"/>
          <w:color w:val="auto"/>
        </w:rPr>
        <w:t>39</w:t>
      </w:r>
      <w:r w:rsidR="00C57FB1">
        <w:rPr>
          <w:rFonts w:ascii="Times New Roman" w:eastAsia="ThorndaleAMT" w:hAnsi="Times New Roman" w:cs="Times New Roman"/>
          <w:color w:val="auto"/>
        </w:rPr>
        <w:t>.</w:t>
      </w:r>
      <w:r w:rsidR="003A2A3C">
        <w:rPr>
          <w:rFonts w:ascii="Times New Roman" w:eastAsia="ThorndaleAMT" w:hAnsi="Times New Roman" w:cs="Times New Roman"/>
          <w:color w:val="auto"/>
        </w:rPr>
        <w:t>0</w:t>
      </w:r>
      <w:r w:rsidR="00C57FB1">
        <w:rPr>
          <w:rFonts w:ascii="Times New Roman" w:eastAsia="ThorndaleAMT" w:hAnsi="Times New Roman" w:cs="Times New Roman"/>
          <w:color w:val="auto"/>
        </w:rPr>
        <w:t>00 lei (6500</w:t>
      </w:r>
      <w:r w:rsidR="003A2A3C">
        <w:rPr>
          <w:rFonts w:ascii="Times New Roman" w:eastAsia="ThorndaleAMT" w:hAnsi="Times New Roman" w:cs="Times New Roman"/>
          <w:color w:val="auto"/>
        </w:rPr>
        <w:t xml:space="preserve"> </w:t>
      </w:r>
      <w:r w:rsidR="00C57FB1">
        <w:rPr>
          <w:rFonts w:ascii="Times New Roman" w:eastAsia="ThorndaleAMT" w:hAnsi="Times New Roman" w:cs="Times New Roman"/>
          <w:color w:val="auto"/>
        </w:rPr>
        <w:t xml:space="preserve">lei x </w:t>
      </w:r>
      <w:r w:rsidR="003A2A3C">
        <w:rPr>
          <w:rFonts w:ascii="Times New Roman" w:eastAsia="ThorndaleAMT" w:hAnsi="Times New Roman" w:cs="Times New Roman"/>
          <w:color w:val="auto"/>
        </w:rPr>
        <w:t>6</w:t>
      </w:r>
      <w:r w:rsidR="007D20BC">
        <w:rPr>
          <w:rFonts w:ascii="Times New Roman" w:eastAsia="ThorndaleAMT" w:hAnsi="Times New Roman" w:cs="Times New Roman"/>
          <w:color w:val="auto"/>
        </w:rPr>
        <w:t xml:space="preserve"> luni)</w:t>
      </w:r>
      <w:r w:rsidR="003A2A3C" w:rsidRPr="003A2A3C">
        <w:rPr>
          <w:rFonts w:ascii="Times New Roman" w:eastAsia="ThorndaleAMT" w:hAnsi="Times New Roman" w:cs="Times New Roman"/>
          <w:color w:val="auto"/>
        </w:rPr>
        <w:t xml:space="preserve"> </w:t>
      </w:r>
      <w:r w:rsidR="003A2A3C" w:rsidRPr="007D20BC">
        <w:rPr>
          <w:rFonts w:ascii="Times New Roman" w:eastAsia="ThorndaleAMT" w:hAnsi="Times New Roman" w:cs="Times New Roman"/>
          <w:color w:val="auto"/>
        </w:rPr>
        <w:t>(cu TVA inclus).</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lastRenderedPageBreak/>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268E4C6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4EA77A7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8660E4"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1359608D" w14:textId="66D9B226" w:rsidR="00C5682B" w:rsidRPr="008660E4" w:rsidRDefault="00C5682B" w:rsidP="006A414A">
      <w:pPr>
        <w:spacing w:line="276" w:lineRule="auto"/>
        <w:rPr>
          <w:rFonts w:ascii="Times New Roman" w:hAnsi="Times New Roman" w:cs="Times New Roman"/>
          <w:color w:val="auto"/>
          <w:lang w:val="it-IT"/>
        </w:rPr>
      </w:pPr>
    </w:p>
    <w:p w14:paraId="50FFF434" w14:textId="71995623" w:rsidR="00C5682B" w:rsidRDefault="00C5682B" w:rsidP="006A414A">
      <w:pPr>
        <w:spacing w:line="276" w:lineRule="auto"/>
        <w:rPr>
          <w:rFonts w:ascii="Times New Roman" w:hAnsi="Times New Roman" w:cs="Times New Roman"/>
          <w:color w:val="auto"/>
          <w:lang w:val="it-IT"/>
        </w:rPr>
      </w:pPr>
    </w:p>
    <w:p w14:paraId="1CB68FA5" w14:textId="529EB8E5" w:rsidR="00C5682B" w:rsidRPr="008660E4" w:rsidRDefault="008660E4" w:rsidP="008660E4">
      <w:pPr>
        <w:pStyle w:val="paragraph"/>
        <w:spacing w:after="0"/>
        <w:ind w:left="2880" w:firstLine="720"/>
        <w:textAlignment w:val="baseline"/>
        <w:rPr>
          <w:lang w:val="en-US"/>
        </w:rPr>
      </w:pPr>
      <w:proofErr w:type="spellStart"/>
      <w:r w:rsidRPr="008660E4">
        <w:rPr>
          <w:rStyle w:val="normaltextrun"/>
          <w:lang w:val="en-US"/>
        </w:rPr>
        <w:lastRenderedPageBreak/>
        <w:t>Caiet</w:t>
      </w:r>
      <w:proofErr w:type="spellEnd"/>
      <w:r w:rsidRPr="008660E4">
        <w:rPr>
          <w:rStyle w:val="normaltextrun"/>
          <w:lang w:val="en-US"/>
        </w:rPr>
        <w:t xml:space="preserve"> de </w:t>
      </w:r>
      <w:proofErr w:type="spellStart"/>
      <w:r w:rsidRPr="008660E4">
        <w:rPr>
          <w:rStyle w:val="normaltextrun"/>
          <w:lang w:val="en-US"/>
        </w:rPr>
        <w:t>Sarcini</w:t>
      </w:r>
      <w:proofErr w:type="spellEnd"/>
      <w:r w:rsidRPr="008660E4">
        <w:rPr>
          <w:rStyle w:val="normaltextrun"/>
          <w:lang w:val="en-US"/>
        </w:rPr>
        <w:t xml:space="preserve">  LOT </w:t>
      </w:r>
      <w:r w:rsidR="003A2A3C">
        <w:rPr>
          <w:rStyle w:val="normaltextrun"/>
          <w:lang w:val="en-US"/>
        </w:rPr>
        <w:t>1</w:t>
      </w:r>
    </w:p>
    <w:p w14:paraId="64584EE9" w14:textId="77777777" w:rsidR="008660E4" w:rsidRPr="008660E4" w:rsidRDefault="008660E4" w:rsidP="008660E4">
      <w:pPr>
        <w:spacing w:line="276" w:lineRule="auto"/>
        <w:jc w:val="center"/>
        <w:rPr>
          <w:rFonts w:ascii="Times New Roman" w:hAnsi="Times New Roman" w:cs="Times New Roman"/>
          <w:color w:val="auto"/>
          <w:lang w:val="it-IT"/>
        </w:rPr>
      </w:pPr>
      <w:r w:rsidRPr="008660E4">
        <w:rPr>
          <w:rFonts w:ascii="Times New Roman" w:hAnsi="Times New Roman" w:cs="Times New Roman"/>
          <w:color w:val="auto"/>
          <w:lang w:val="it-IT"/>
        </w:rPr>
        <w:t>Achiziția de Servicii de Înregistrare Video</w:t>
      </w:r>
    </w:p>
    <w:p w14:paraId="2AD82CD8" w14:textId="77777777" w:rsidR="008660E4" w:rsidRPr="008660E4" w:rsidRDefault="008660E4" w:rsidP="008660E4">
      <w:pPr>
        <w:spacing w:line="276" w:lineRule="auto"/>
        <w:rPr>
          <w:rFonts w:ascii="Times New Roman" w:hAnsi="Times New Roman" w:cs="Times New Roman"/>
          <w:color w:val="auto"/>
          <w:lang w:val="it-IT"/>
        </w:rPr>
      </w:pPr>
    </w:p>
    <w:p w14:paraId="423D190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Fișa tehnică face parte integrantă din documentația pentru elaborarea și</w:t>
      </w:r>
    </w:p>
    <w:p w14:paraId="3CF63B7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prezentarea ofertelor și conține ansamblul cerințelor pe baza cărora se elaborează</w:t>
      </w:r>
    </w:p>
    <w:p w14:paraId="4D5361B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de către fiecare ofertant propunerea tehnică și financiară.</w:t>
      </w:r>
    </w:p>
    <w:p w14:paraId="12D7EF57"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1. Obiectivul achiziției:</w:t>
      </w:r>
    </w:p>
    <w:p w14:paraId="010591E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Asigurarea serviciilor de înregistrare video pentru meciurile,</w:t>
      </w:r>
    </w:p>
    <w:p w14:paraId="4DBA443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antrenamentele, evenimentele sociale, campaniile și ședințele foto ale CSM</w:t>
      </w:r>
    </w:p>
    <w:p w14:paraId="7DD71BBC" w14:textId="4FB89F33"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București în perioada 01.0</w:t>
      </w:r>
      <w:r w:rsidR="003A2A3C">
        <w:rPr>
          <w:rFonts w:ascii="Times New Roman" w:hAnsi="Times New Roman" w:cs="Times New Roman"/>
          <w:color w:val="auto"/>
          <w:lang w:val="it-IT"/>
        </w:rPr>
        <w:t>9</w:t>
      </w:r>
      <w:r w:rsidRPr="008660E4">
        <w:rPr>
          <w:rFonts w:ascii="Times New Roman" w:hAnsi="Times New Roman" w:cs="Times New Roman"/>
          <w:color w:val="auto"/>
          <w:lang w:val="it-IT"/>
        </w:rPr>
        <w:t>.2021 – 31.12.2021 cu posibilitatea de prelungire pentru</w:t>
      </w:r>
    </w:p>
    <w:p w14:paraId="40500457" w14:textId="2D14E6B5"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următoarele </w:t>
      </w:r>
      <w:r w:rsidR="003A2A3C">
        <w:rPr>
          <w:rFonts w:ascii="Times New Roman" w:hAnsi="Times New Roman" w:cs="Times New Roman"/>
          <w:color w:val="auto"/>
          <w:lang w:val="it-IT"/>
        </w:rPr>
        <w:t>doua</w:t>
      </w:r>
      <w:r w:rsidRPr="008660E4">
        <w:rPr>
          <w:rFonts w:ascii="Times New Roman" w:hAnsi="Times New Roman" w:cs="Times New Roman"/>
          <w:color w:val="auto"/>
          <w:lang w:val="it-IT"/>
        </w:rPr>
        <w:t xml:space="preserve"> luni ale anului următor pentru compartimentul Handbal.</w:t>
      </w:r>
    </w:p>
    <w:p w14:paraId="58C35FF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Prestatorul va efectua materiale video de la antrenamentele și meciurile</w:t>
      </w:r>
    </w:p>
    <w:p w14:paraId="5A463357"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echipelor de handbal seniori și le va transmite atât sub formă brută, cât și sub formă</w:t>
      </w:r>
    </w:p>
    <w:p w14:paraId="522C86EB"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de montaje pentru canalele de social media ale CSM București.</w:t>
      </w:r>
    </w:p>
    <w:p w14:paraId="1140B7F2" w14:textId="77777777" w:rsidR="008660E4" w:rsidRPr="008660E4" w:rsidRDefault="008660E4" w:rsidP="008660E4">
      <w:pPr>
        <w:spacing w:line="276" w:lineRule="auto"/>
        <w:rPr>
          <w:rFonts w:ascii="Times New Roman" w:hAnsi="Times New Roman" w:cs="Times New Roman"/>
          <w:color w:val="auto"/>
          <w:lang w:val="it-IT"/>
        </w:rPr>
      </w:pPr>
    </w:p>
    <w:p w14:paraId="7ADD78D5"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2. Cerințe minime obligatorii:</w:t>
      </w:r>
    </w:p>
    <w:p w14:paraId="1D716CE1"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a. Materialul video produs trebuie să conțină următoarele:</w:t>
      </w:r>
    </w:p>
    <w:p w14:paraId="236AC3FD"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rezoluția minimă fullHD (1920x1080) și microfon cu cub personalizat cu</w:t>
      </w:r>
    </w:p>
    <w:p w14:paraId="51ED88FE"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însemnele clubului</w:t>
      </w:r>
    </w:p>
    <w:p w14:paraId="20AD481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filmarea trebuie să fie stabilă (trepied sau aparat / telefon / cameră cu</w:t>
      </w:r>
    </w:p>
    <w:p w14:paraId="32B2C58A"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stabilizator de imagine)</w:t>
      </w:r>
    </w:p>
    <w:p w14:paraId="0F51014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sunetul trebuie să fie clar</w:t>
      </w:r>
    </w:p>
    <w:p w14:paraId="31AB82FF"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încadratura folosită la interviu va fi prim-plan</w:t>
      </w:r>
    </w:p>
    <w:p w14:paraId="1BCD47EE"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distanța dintre intervievat și panou va fi de 40 cm</w:t>
      </w:r>
    </w:p>
    <w:p w14:paraId="2D4D406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toate interviurile vor fi luate în fața panoului de sponsori, excepție fiind prezentările</w:t>
      </w:r>
    </w:p>
    <w:p w14:paraId="07AC086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de sponsori și evenimente speciale ale sponsorilor echipei</w:t>
      </w:r>
    </w:p>
    <w:p w14:paraId="6DCA5916"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durata minimă a interviurilor trebuie să fie de 90 de secunde (durata</w:t>
      </w:r>
    </w:p>
    <w:p w14:paraId="06C897C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răspunsurilor)</w:t>
      </w:r>
    </w:p>
    <w:p w14:paraId="38F461EB" w14:textId="77777777" w:rsidR="008660E4" w:rsidRPr="008660E4" w:rsidRDefault="008660E4" w:rsidP="008660E4">
      <w:pPr>
        <w:spacing w:line="276" w:lineRule="auto"/>
        <w:rPr>
          <w:rFonts w:ascii="Times New Roman" w:hAnsi="Times New Roman" w:cs="Times New Roman"/>
          <w:color w:val="auto"/>
          <w:lang w:val="it-IT"/>
        </w:rPr>
      </w:pPr>
    </w:p>
    <w:p w14:paraId="125D563B"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www.csmbucuresti.ro</w:t>
      </w:r>
    </w:p>
    <w:p w14:paraId="21C1D174" w14:textId="77777777" w:rsidR="008660E4" w:rsidRPr="008660E4" w:rsidRDefault="008660E4" w:rsidP="008660E4">
      <w:pPr>
        <w:spacing w:line="276" w:lineRule="auto"/>
        <w:rPr>
          <w:rFonts w:ascii="Times New Roman" w:hAnsi="Times New Roman" w:cs="Times New Roman"/>
          <w:color w:val="auto"/>
          <w:lang w:val="it-IT"/>
        </w:rPr>
      </w:pPr>
    </w:p>
    <w:p w14:paraId="238D159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Calea Vitan, nr. 242, etaj 1, Sector 3, București, tel: +4 (021) 313.66.33, fax: +4 (021) 317.42.48, e-mail: office@csmbucuresti.ro</w:t>
      </w:r>
    </w:p>
    <w:p w14:paraId="7681785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CSM București operează conform Regulamentului UE nr. 629/2016 privind protecția datelor personale</w:t>
      </w:r>
    </w:p>
    <w:p w14:paraId="5FF2E744" w14:textId="77777777" w:rsidR="008660E4" w:rsidRPr="008660E4" w:rsidRDefault="008660E4" w:rsidP="008660E4">
      <w:pPr>
        <w:spacing w:line="276" w:lineRule="auto"/>
        <w:rPr>
          <w:rFonts w:ascii="Times New Roman" w:hAnsi="Times New Roman" w:cs="Times New Roman"/>
          <w:color w:val="auto"/>
          <w:lang w:val="it-IT"/>
        </w:rPr>
      </w:pPr>
    </w:p>
    <w:p w14:paraId="049EFC2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lastRenderedPageBreak/>
        <w:t>- materialul video trebuie să conțină și ilustrație de la antrenamente / meciuri</w:t>
      </w:r>
    </w:p>
    <w:p w14:paraId="623B9BC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b. Materialul brut va fi transmis în maximum trei ore de la realizare</w:t>
      </w:r>
    </w:p>
    <w:p w14:paraId="23D45C6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c. Montajul va fi trsanmis în maximum 24 de ore de la realizare, având</w:t>
      </w:r>
    </w:p>
    <w:p w14:paraId="24E9312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durata de maximum trei minute, cu intro și outro CSM București</w:t>
      </w:r>
    </w:p>
    <w:p w14:paraId="210FBAA7" w14:textId="77777777" w:rsidR="008660E4" w:rsidRPr="008660E4" w:rsidRDefault="008660E4" w:rsidP="008660E4">
      <w:pPr>
        <w:spacing w:line="276" w:lineRule="auto"/>
        <w:rPr>
          <w:rFonts w:ascii="Times New Roman" w:hAnsi="Times New Roman" w:cs="Times New Roman"/>
          <w:color w:val="auto"/>
          <w:lang w:val="it-IT"/>
        </w:rPr>
      </w:pPr>
    </w:p>
    <w:p w14:paraId="661C2FF0" w14:textId="73785A74" w:rsidR="008660E4" w:rsidRPr="002C06D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3. Număr aproximativ de evenimente / lună: 15</w:t>
      </w:r>
    </w:p>
    <w:p w14:paraId="2DB8B651" w14:textId="340EB2BC" w:rsidR="008550F8" w:rsidRDefault="008550F8" w:rsidP="006A414A">
      <w:pPr>
        <w:spacing w:line="276" w:lineRule="auto"/>
        <w:rPr>
          <w:rFonts w:ascii="Times New Roman" w:hAnsi="Times New Roman" w:cs="Times New Roman"/>
          <w:color w:val="auto"/>
          <w:lang w:val="it-IT"/>
        </w:rPr>
      </w:pPr>
    </w:p>
    <w:p w14:paraId="32EBAB0B" w14:textId="160D892F" w:rsidR="002C06D4" w:rsidRDefault="002C06D4" w:rsidP="006A414A">
      <w:pPr>
        <w:spacing w:line="276" w:lineRule="auto"/>
        <w:rPr>
          <w:rFonts w:ascii="Times New Roman" w:hAnsi="Times New Roman" w:cs="Times New Roman"/>
          <w:color w:val="auto"/>
          <w:lang w:val="it-IT"/>
        </w:rPr>
      </w:pPr>
    </w:p>
    <w:p w14:paraId="20548ECB" w14:textId="66F6B67E" w:rsidR="002C06D4" w:rsidRDefault="002C06D4" w:rsidP="006A414A">
      <w:pPr>
        <w:spacing w:line="276" w:lineRule="auto"/>
        <w:rPr>
          <w:rFonts w:ascii="Times New Roman" w:hAnsi="Times New Roman" w:cs="Times New Roman"/>
          <w:color w:val="auto"/>
          <w:lang w:val="it-IT"/>
        </w:rPr>
      </w:pPr>
    </w:p>
    <w:p w14:paraId="21C3FB2F" w14:textId="7687F3C4" w:rsidR="002C06D4" w:rsidRDefault="002C06D4" w:rsidP="006A414A">
      <w:pPr>
        <w:spacing w:line="276" w:lineRule="auto"/>
        <w:rPr>
          <w:rFonts w:ascii="Times New Roman" w:hAnsi="Times New Roman" w:cs="Times New Roman"/>
          <w:color w:val="auto"/>
          <w:lang w:val="it-IT"/>
        </w:rPr>
      </w:pPr>
    </w:p>
    <w:p w14:paraId="589FA129" w14:textId="7EF67E94" w:rsidR="002C06D4" w:rsidRDefault="002C06D4" w:rsidP="006A414A">
      <w:pPr>
        <w:spacing w:line="276" w:lineRule="auto"/>
        <w:rPr>
          <w:rFonts w:ascii="Times New Roman" w:hAnsi="Times New Roman" w:cs="Times New Roman"/>
          <w:color w:val="auto"/>
          <w:lang w:val="it-IT"/>
        </w:rPr>
      </w:pPr>
    </w:p>
    <w:p w14:paraId="5162E80E" w14:textId="5A6D3754" w:rsidR="002C06D4" w:rsidRDefault="002C06D4" w:rsidP="006A414A">
      <w:pPr>
        <w:spacing w:line="276" w:lineRule="auto"/>
        <w:rPr>
          <w:rFonts w:ascii="Times New Roman" w:hAnsi="Times New Roman" w:cs="Times New Roman"/>
          <w:color w:val="auto"/>
          <w:lang w:val="it-IT"/>
        </w:rPr>
      </w:pPr>
    </w:p>
    <w:p w14:paraId="2AF06DFB" w14:textId="64B7EF34" w:rsidR="002C06D4" w:rsidRDefault="002C06D4" w:rsidP="006A414A">
      <w:pPr>
        <w:spacing w:line="276" w:lineRule="auto"/>
        <w:rPr>
          <w:rFonts w:ascii="Times New Roman" w:hAnsi="Times New Roman" w:cs="Times New Roman"/>
          <w:color w:val="auto"/>
          <w:lang w:val="it-IT"/>
        </w:rPr>
      </w:pPr>
    </w:p>
    <w:p w14:paraId="7F60807E" w14:textId="342E637A" w:rsidR="002C06D4" w:rsidRDefault="002C06D4" w:rsidP="006A414A">
      <w:pPr>
        <w:spacing w:line="276" w:lineRule="auto"/>
        <w:rPr>
          <w:rFonts w:ascii="Times New Roman" w:hAnsi="Times New Roman" w:cs="Times New Roman"/>
          <w:color w:val="auto"/>
          <w:lang w:val="it-IT"/>
        </w:rPr>
      </w:pPr>
    </w:p>
    <w:p w14:paraId="72AB02FA" w14:textId="259E31D9" w:rsidR="002C06D4" w:rsidRDefault="002C06D4" w:rsidP="006A414A">
      <w:pPr>
        <w:spacing w:line="276" w:lineRule="auto"/>
        <w:rPr>
          <w:rFonts w:ascii="Times New Roman" w:hAnsi="Times New Roman" w:cs="Times New Roman"/>
          <w:color w:val="auto"/>
          <w:lang w:val="it-IT"/>
        </w:rPr>
      </w:pPr>
    </w:p>
    <w:p w14:paraId="40EB2394" w14:textId="17C0C520" w:rsidR="002C06D4" w:rsidRDefault="002C06D4" w:rsidP="006A414A">
      <w:pPr>
        <w:spacing w:line="276" w:lineRule="auto"/>
        <w:rPr>
          <w:rFonts w:ascii="Times New Roman" w:hAnsi="Times New Roman" w:cs="Times New Roman"/>
          <w:color w:val="auto"/>
          <w:lang w:val="it-IT"/>
        </w:rPr>
      </w:pPr>
    </w:p>
    <w:p w14:paraId="595726BA" w14:textId="7F75A00F" w:rsidR="002C06D4" w:rsidRDefault="002C06D4" w:rsidP="006A414A">
      <w:pPr>
        <w:spacing w:line="276" w:lineRule="auto"/>
        <w:rPr>
          <w:rFonts w:ascii="Times New Roman" w:hAnsi="Times New Roman" w:cs="Times New Roman"/>
          <w:color w:val="auto"/>
          <w:lang w:val="it-IT"/>
        </w:rPr>
      </w:pPr>
    </w:p>
    <w:p w14:paraId="5E8A4E44" w14:textId="7AE9796A" w:rsidR="002C06D4" w:rsidRDefault="002C06D4" w:rsidP="006A414A">
      <w:pPr>
        <w:spacing w:line="276" w:lineRule="auto"/>
        <w:rPr>
          <w:rFonts w:ascii="Times New Roman" w:hAnsi="Times New Roman" w:cs="Times New Roman"/>
          <w:color w:val="auto"/>
          <w:lang w:val="it-IT"/>
        </w:rPr>
      </w:pPr>
    </w:p>
    <w:p w14:paraId="69E3DB3B" w14:textId="655E4CDC" w:rsidR="002C06D4" w:rsidRDefault="002C06D4" w:rsidP="006A414A">
      <w:pPr>
        <w:spacing w:line="276" w:lineRule="auto"/>
        <w:rPr>
          <w:rFonts w:ascii="Times New Roman" w:hAnsi="Times New Roman" w:cs="Times New Roman"/>
          <w:color w:val="auto"/>
          <w:lang w:val="it-IT"/>
        </w:rPr>
      </w:pPr>
    </w:p>
    <w:p w14:paraId="6DB7795F" w14:textId="32B82F78" w:rsidR="002C06D4" w:rsidRDefault="002C06D4" w:rsidP="006A414A">
      <w:pPr>
        <w:spacing w:line="276" w:lineRule="auto"/>
        <w:rPr>
          <w:rFonts w:ascii="Times New Roman" w:hAnsi="Times New Roman" w:cs="Times New Roman"/>
          <w:color w:val="auto"/>
          <w:lang w:val="it-IT"/>
        </w:rPr>
      </w:pPr>
    </w:p>
    <w:p w14:paraId="5F01CF1B" w14:textId="637327B5" w:rsidR="002C06D4" w:rsidRDefault="002C06D4" w:rsidP="006A414A">
      <w:pPr>
        <w:spacing w:line="276" w:lineRule="auto"/>
        <w:rPr>
          <w:rFonts w:ascii="Times New Roman" w:hAnsi="Times New Roman" w:cs="Times New Roman"/>
          <w:color w:val="auto"/>
          <w:lang w:val="it-IT"/>
        </w:rPr>
      </w:pPr>
    </w:p>
    <w:p w14:paraId="53C72FFB" w14:textId="1B88993C" w:rsidR="002C06D4" w:rsidRDefault="002C06D4" w:rsidP="006A414A">
      <w:pPr>
        <w:spacing w:line="276" w:lineRule="auto"/>
        <w:rPr>
          <w:rFonts w:ascii="Times New Roman" w:hAnsi="Times New Roman" w:cs="Times New Roman"/>
          <w:color w:val="auto"/>
          <w:lang w:val="it-IT"/>
        </w:rPr>
      </w:pPr>
    </w:p>
    <w:p w14:paraId="626B5F99" w14:textId="4C3F5164" w:rsidR="002C06D4" w:rsidRDefault="002C06D4" w:rsidP="006A414A">
      <w:pPr>
        <w:spacing w:line="276" w:lineRule="auto"/>
        <w:rPr>
          <w:rFonts w:ascii="Times New Roman" w:hAnsi="Times New Roman" w:cs="Times New Roman"/>
          <w:color w:val="auto"/>
          <w:lang w:val="it-IT"/>
        </w:rPr>
      </w:pPr>
    </w:p>
    <w:p w14:paraId="342236E1" w14:textId="1FA02F81" w:rsidR="002C06D4" w:rsidRDefault="002C06D4" w:rsidP="006A414A">
      <w:pPr>
        <w:spacing w:line="276" w:lineRule="auto"/>
        <w:rPr>
          <w:rFonts w:ascii="Times New Roman" w:hAnsi="Times New Roman" w:cs="Times New Roman"/>
          <w:color w:val="auto"/>
          <w:lang w:val="it-IT"/>
        </w:rPr>
      </w:pPr>
    </w:p>
    <w:p w14:paraId="5F4B3291" w14:textId="62DFC22F" w:rsidR="002C06D4" w:rsidRDefault="002C06D4" w:rsidP="006A414A">
      <w:pPr>
        <w:spacing w:line="276" w:lineRule="auto"/>
        <w:rPr>
          <w:rFonts w:ascii="Times New Roman" w:hAnsi="Times New Roman" w:cs="Times New Roman"/>
          <w:color w:val="auto"/>
          <w:lang w:val="it-IT"/>
        </w:rPr>
      </w:pPr>
    </w:p>
    <w:p w14:paraId="3D29794A" w14:textId="7B1EDB27" w:rsidR="002C06D4" w:rsidRDefault="002C06D4" w:rsidP="006A414A">
      <w:pPr>
        <w:spacing w:line="276" w:lineRule="auto"/>
        <w:rPr>
          <w:rFonts w:ascii="Times New Roman" w:hAnsi="Times New Roman" w:cs="Times New Roman"/>
          <w:color w:val="auto"/>
          <w:lang w:val="it-IT"/>
        </w:rPr>
      </w:pPr>
    </w:p>
    <w:p w14:paraId="69CA6E1D" w14:textId="15EF2D9F" w:rsidR="002C06D4" w:rsidRDefault="002C06D4" w:rsidP="006A414A">
      <w:pPr>
        <w:spacing w:line="276" w:lineRule="auto"/>
        <w:rPr>
          <w:rFonts w:ascii="Times New Roman" w:hAnsi="Times New Roman" w:cs="Times New Roman"/>
          <w:color w:val="auto"/>
          <w:lang w:val="it-IT"/>
        </w:rPr>
      </w:pPr>
    </w:p>
    <w:p w14:paraId="2FDA8570" w14:textId="15E37384" w:rsidR="002C06D4" w:rsidRDefault="002C06D4" w:rsidP="006A414A">
      <w:pPr>
        <w:spacing w:line="276" w:lineRule="auto"/>
        <w:rPr>
          <w:rFonts w:ascii="Times New Roman" w:hAnsi="Times New Roman" w:cs="Times New Roman"/>
          <w:color w:val="auto"/>
          <w:lang w:val="it-IT"/>
        </w:rPr>
      </w:pPr>
    </w:p>
    <w:p w14:paraId="51D3468D" w14:textId="31466085" w:rsidR="003A2A3C" w:rsidRDefault="003A2A3C" w:rsidP="006A414A">
      <w:pPr>
        <w:spacing w:line="276" w:lineRule="auto"/>
        <w:rPr>
          <w:rFonts w:ascii="Times New Roman" w:hAnsi="Times New Roman" w:cs="Times New Roman"/>
          <w:color w:val="auto"/>
          <w:lang w:val="it-IT"/>
        </w:rPr>
      </w:pPr>
    </w:p>
    <w:p w14:paraId="73F1AB3A" w14:textId="1942B2E7" w:rsidR="003A2A3C" w:rsidRDefault="003A2A3C" w:rsidP="006A414A">
      <w:pPr>
        <w:spacing w:line="276" w:lineRule="auto"/>
        <w:rPr>
          <w:rFonts w:ascii="Times New Roman" w:hAnsi="Times New Roman" w:cs="Times New Roman"/>
          <w:color w:val="auto"/>
          <w:lang w:val="it-IT"/>
        </w:rPr>
      </w:pPr>
    </w:p>
    <w:p w14:paraId="2ED611E0" w14:textId="65787C90" w:rsidR="003A2A3C" w:rsidRDefault="003A2A3C" w:rsidP="006A414A">
      <w:pPr>
        <w:spacing w:line="276" w:lineRule="auto"/>
        <w:rPr>
          <w:rFonts w:ascii="Times New Roman" w:hAnsi="Times New Roman" w:cs="Times New Roman"/>
          <w:color w:val="auto"/>
          <w:lang w:val="it-IT"/>
        </w:rPr>
      </w:pPr>
    </w:p>
    <w:p w14:paraId="5A4F975F" w14:textId="3A6F0967" w:rsidR="003A2A3C" w:rsidRDefault="003A2A3C" w:rsidP="006A414A">
      <w:pPr>
        <w:spacing w:line="276" w:lineRule="auto"/>
        <w:rPr>
          <w:rFonts w:ascii="Times New Roman" w:hAnsi="Times New Roman" w:cs="Times New Roman"/>
          <w:color w:val="auto"/>
          <w:lang w:val="it-IT"/>
        </w:rPr>
      </w:pPr>
    </w:p>
    <w:p w14:paraId="50C891DA" w14:textId="39904571" w:rsidR="003A2A3C" w:rsidRDefault="003A2A3C" w:rsidP="006A414A">
      <w:pPr>
        <w:spacing w:line="276" w:lineRule="auto"/>
        <w:rPr>
          <w:rFonts w:ascii="Times New Roman" w:hAnsi="Times New Roman" w:cs="Times New Roman"/>
          <w:color w:val="auto"/>
          <w:lang w:val="it-IT"/>
        </w:rPr>
      </w:pPr>
    </w:p>
    <w:p w14:paraId="6EC4D372" w14:textId="77777777" w:rsidR="003A2A3C" w:rsidRDefault="003A2A3C" w:rsidP="006A414A">
      <w:pPr>
        <w:spacing w:line="276" w:lineRule="auto"/>
        <w:rPr>
          <w:rFonts w:ascii="Times New Roman" w:hAnsi="Times New Roman" w:cs="Times New Roman"/>
          <w:color w:val="auto"/>
          <w:lang w:val="it-IT"/>
        </w:rPr>
      </w:pPr>
    </w:p>
    <w:p w14:paraId="0A642A54" w14:textId="77777777" w:rsidR="008550F8" w:rsidRDefault="008550F8"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DB493E"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DB493E"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DB493E"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DB493E"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D547" w14:textId="77777777" w:rsidR="00DB493E" w:rsidRDefault="00DB493E" w:rsidP="00E47FC0">
      <w:r>
        <w:separator/>
      </w:r>
    </w:p>
  </w:endnote>
  <w:endnote w:type="continuationSeparator" w:id="0">
    <w:p w14:paraId="5788E5D6" w14:textId="77777777" w:rsidR="00DB493E" w:rsidRDefault="00DB493E"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6B48280"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50F5" w14:textId="77777777" w:rsidR="00DB493E" w:rsidRDefault="00DB493E" w:rsidP="00E47FC0">
      <w:r>
        <w:separator/>
      </w:r>
    </w:p>
  </w:footnote>
  <w:footnote w:type="continuationSeparator" w:id="0">
    <w:p w14:paraId="63D0D6DD" w14:textId="77777777" w:rsidR="00DB493E" w:rsidRDefault="00DB493E"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DA15A9"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2E1141"/>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32AF"/>
    <w:rsid w:val="003742DE"/>
    <w:rsid w:val="00375015"/>
    <w:rsid w:val="00386FE0"/>
    <w:rsid w:val="00392228"/>
    <w:rsid w:val="003A18DB"/>
    <w:rsid w:val="003A2A3C"/>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238F"/>
    <w:rsid w:val="00784C57"/>
    <w:rsid w:val="007919C1"/>
    <w:rsid w:val="007A425C"/>
    <w:rsid w:val="007C113A"/>
    <w:rsid w:val="007C74A6"/>
    <w:rsid w:val="007D10D9"/>
    <w:rsid w:val="007D156B"/>
    <w:rsid w:val="007D20BC"/>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50F8"/>
    <w:rsid w:val="00856595"/>
    <w:rsid w:val="008629B0"/>
    <w:rsid w:val="0086417B"/>
    <w:rsid w:val="00864821"/>
    <w:rsid w:val="00865BEF"/>
    <w:rsid w:val="008660E4"/>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1694"/>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57FB1"/>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B493E"/>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EA2FEE1E-7CFF-42FD-89BF-5659E2BC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CE65-1A75-0A44-A509-8961656E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41376</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Panait Alin</cp:lastModifiedBy>
  <cp:revision>5</cp:revision>
  <cp:lastPrinted>2020-01-28T11:58:00Z</cp:lastPrinted>
  <dcterms:created xsi:type="dcterms:W3CDTF">2021-05-27T04:24:00Z</dcterms:created>
  <dcterms:modified xsi:type="dcterms:W3CDTF">2021-08-19T08:45:00Z</dcterms:modified>
</cp:coreProperties>
</file>